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F" w:rsidRDefault="00E0230F">
      <w:pPr>
        <w:jc w:val="both"/>
      </w:pPr>
      <w:r>
        <w:rPr>
          <w:b/>
          <w:bCs/>
          <w:sz w:val="20"/>
          <w:szCs w:val="20"/>
          <w:lang w:val="uk-UA"/>
        </w:rPr>
        <w:t>ПРИВАТНЕ АКЦІОНЕРНЕ ТОВАРИСТВО «АПТЕЧНА МЕРЕЖА «ФАРМАЦІЯ»</w:t>
      </w:r>
      <w:r>
        <w:rPr>
          <w:sz w:val="20"/>
          <w:szCs w:val="20"/>
          <w:lang w:val="uk-UA"/>
        </w:rPr>
        <w:t xml:space="preserve">, код за ЄДРПОУ 22447055, місцезнаходження: 65026, м.Одеса, вул. Жуковського, 20 (далі — Товариство), повідомляє про проведення річних загальних зборів акціонерів, які відбудуться 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  <w:lang w:val="uk-UA"/>
        </w:rPr>
        <w:t>3 квітня 20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  <w:lang w:val="uk-UA"/>
        </w:rPr>
        <w:t>1 року</w:t>
      </w:r>
      <w:r>
        <w:rPr>
          <w:sz w:val="20"/>
          <w:szCs w:val="20"/>
          <w:lang w:val="uk-UA"/>
        </w:rPr>
        <w:t xml:space="preserve"> о 12.00 за місцем: 65026, м. Одеса, вул. Жуковського, 20, кімната № 16 (2 поверх, вхід з двору). Реєстрація акціонерів для участі у загальних зборах проводиться </w:t>
      </w:r>
      <w:r>
        <w:rPr>
          <w:b/>
          <w:bCs/>
          <w:sz w:val="20"/>
          <w:szCs w:val="20"/>
          <w:lang w:val="uk-UA"/>
        </w:rPr>
        <w:t>з 11.15 до 11.50</w:t>
      </w:r>
      <w:r>
        <w:rPr>
          <w:sz w:val="20"/>
          <w:szCs w:val="20"/>
          <w:lang w:val="uk-UA"/>
        </w:rPr>
        <w:t xml:space="preserve"> у день та за місцем проведення загальних зборів. Дата складання переліку акціонерів, які мають право на участь у загальних зборах — станом на 24 годину 19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квітня 20</w:t>
      </w:r>
      <w:r>
        <w:rPr>
          <w:sz w:val="20"/>
          <w:szCs w:val="20"/>
        </w:rPr>
        <w:t>2</w:t>
      </w:r>
      <w:r>
        <w:rPr>
          <w:sz w:val="20"/>
          <w:szCs w:val="20"/>
          <w:lang w:val="uk-UA"/>
        </w:rPr>
        <w:t xml:space="preserve">1 року. Для участі у загальних зборах акціонер має надати реєстраційній комісії документ, який ідентифікує його особу </w:t>
      </w:r>
      <w:r>
        <w:rPr>
          <w:b/>
          <w:bCs/>
          <w:sz w:val="20"/>
          <w:szCs w:val="20"/>
          <w:lang w:val="uk-UA"/>
        </w:rPr>
        <w:t>(паспорт)</w:t>
      </w:r>
      <w:r>
        <w:rPr>
          <w:sz w:val="20"/>
          <w:szCs w:val="20"/>
          <w:lang w:val="uk-UA"/>
        </w:rPr>
        <w:t xml:space="preserve">, реквізити якого відповідають даним переліку акціонерів, які мають право на участь у загальних зборах, а представник акціонера – документ, який ідентифікує особу представника та документ, що підтверджує повноваження представника на участь у загальних зборах, оформлений згідно вимог чинного законодавства України. Участь та голосування на загальних зборах за довіреністю здійснюється у порядку, передбаченому статтею 39 Закону України “Про акціонерні товариства”.            </w:t>
      </w:r>
      <w:r>
        <w:rPr>
          <w:sz w:val="18"/>
          <w:szCs w:val="18"/>
          <w:lang w:val="uk-UA"/>
        </w:rPr>
        <w:t xml:space="preserve">                             </w:t>
      </w:r>
    </w:p>
    <w:p w:rsidR="00E0230F" w:rsidRDefault="00E0230F">
      <w:pPr>
        <w:jc w:val="center"/>
        <w:rPr>
          <w:b/>
          <w:bCs/>
          <w:sz w:val="18"/>
          <w:szCs w:val="18"/>
          <w:u w:val="single"/>
          <w:lang w:val="uk-UA"/>
        </w:rPr>
      </w:pPr>
    </w:p>
    <w:p w:rsidR="00E0230F" w:rsidRDefault="00E0230F">
      <w:pPr>
        <w:jc w:val="center"/>
      </w:pPr>
      <w:r>
        <w:rPr>
          <w:b/>
          <w:bCs/>
          <w:sz w:val="18"/>
          <w:szCs w:val="18"/>
          <w:u w:val="single"/>
          <w:lang w:val="uk-UA"/>
        </w:rPr>
        <w:t>Перелік питань разом з проектом рішень щодо кожного з питань, включених до проекту порядку денного:</w:t>
      </w:r>
    </w:p>
    <w:p w:rsidR="00E0230F" w:rsidRPr="007324E1" w:rsidRDefault="00E0230F">
      <w:pPr>
        <w:jc w:val="both"/>
      </w:pPr>
      <w:r>
        <w:rPr>
          <w:b/>
          <w:bCs/>
          <w:sz w:val="18"/>
          <w:szCs w:val="18"/>
          <w:lang w:val="uk-UA"/>
        </w:rPr>
        <w:t xml:space="preserve">1. Обрання членів лічильної комісії загальних зборів, прийняття </w:t>
      </w:r>
      <w:r w:rsidRPr="007324E1">
        <w:rPr>
          <w:b/>
          <w:bCs/>
          <w:sz w:val="18"/>
          <w:szCs w:val="18"/>
          <w:lang w:val="uk-UA"/>
        </w:rPr>
        <w:t>рішення про припинення їх повноважень.</w:t>
      </w:r>
      <w:r w:rsidRPr="007324E1">
        <w:rPr>
          <w:sz w:val="18"/>
          <w:szCs w:val="18"/>
          <w:lang w:val="uk-UA"/>
        </w:rPr>
        <w:t xml:space="preserve"> </w:t>
      </w:r>
    </w:p>
    <w:p w:rsidR="00E0230F" w:rsidRPr="008219BB" w:rsidRDefault="00E0230F">
      <w:pPr>
        <w:jc w:val="both"/>
        <w:rPr>
          <w:lang w:val="uk-UA"/>
        </w:rPr>
      </w:pPr>
      <w:r w:rsidRPr="007324E1">
        <w:rPr>
          <w:spacing w:val="-2"/>
          <w:sz w:val="18"/>
          <w:szCs w:val="18"/>
        </w:rPr>
        <w:t xml:space="preserve">Проект </w:t>
      </w:r>
      <w:r w:rsidRPr="007324E1">
        <w:rPr>
          <w:spacing w:val="-2"/>
          <w:sz w:val="18"/>
          <w:szCs w:val="18"/>
          <w:lang w:val="uk-UA"/>
        </w:rPr>
        <w:t>рішення: обрати лічильну комісію Загальних зборів у кількості 3-х осіб: Мала Олена Валентинівна, Матейко Олена Вікторівна</w:t>
      </w:r>
      <w:r w:rsidRPr="007324E1">
        <w:rPr>
          <w:spacing w:val="-1"/>
          <w:sz w:val="18"/>
          <w:szCs w:val="18"/>
          <w:lang w:val="uk-UA" w:eastAsia="hi-IN" w:bidi="hi-IN"/>
        </w:rPr>
        <w:t>,</w:t>
      </w:r>
      <w:r w:rsidRPr="007324E1">
        <w:rPr>
          <w:color w:val="000000"/>
          <w:spacing w:val="-1"/>
          <w:sz w:val="18"/>
          <w:szCs w:val="18"/>
          <w:lang w:val="uk-UA" w:eastAsia="hi-IN" w:bidi="hi-IN"/>
        </w:rPr>
        <w:t xml:space="preserve"> </w:t>
      </w:r>
      <w:r w:rsidRPr="007324E1">
        <w:rPr>
          <w:color w:val="000000"/>
          <w:spacing w:val="-2"/>
          <w:sz w:val="18"/>
          <w:szCs w:val="18"/>
          <w:lang w:val="uk-UA" w:eastAsia="hi-IN" w:bidi="hi-IN"/>
        </w:rPr>
        <w:t>Тунеля Олена Вікторівна — члени лічильної комісії</w:t>
      </w:r>
      <w:r w:rsidRPr="007324E1">
        <w:rPr>
          <w:spacing w:val="-2"/>
          <w:sz w:val="18"/>
          <w:szCs w:val="18"/>
          <w:lang w:val="uk-UA" w:eastAsia="hi-IN" w:bidi="hi-IN"/>
        </w:rPr>
        <w:t>.</w:t>
      </w:r>
      <w:r w:rsidRPr="007324E1">
        <w:rPr>
          <w:spacing w:val="-2"/>
          <w:sz w:val="18"/>
          <w:szCs w:val="18"/>
          <w:lang w:val="uk-UA"/>
        </w:rPr>
        <w:t xml:space="preserve"> Припинити повноваження членів Лічильної комісії Загальних зборів після оголошення Головою загальних зборів повідомлення про закриття Загальних зборів.</w:t>
      </w:r>
      <w:r>
        <w:rPr>
          <w:spacing w:val="-2"/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pacing w:val="-2"/>
          <w:sz w:val="18"/>
          <w:szCs w:val="18"/>
          <w:lang w:val="uk-UA"/>
        </w:rPr>
        <w:t xml:space="preserve">2. Розгляд звіту виконавчого органу Товариства про результати фінансово - господарської </w:t>
      </w:r>
      <w:r>
        <w:rPr>
          <w:b/>
          <w:bCs/>
          <w:sz w:val="18"/>
          <w:szCs w:val="18"/>
          <w:lang w:val="uk-UA"/>
        </w:rPr>
        <w:t xml:space="preserve">діяльності Товариства у 2019, 2020 </w:t>
      </w:r>
      <w:r>
        <w:rPr>
          <w:b/>
          <w:bCs/>
          <w:spacing w:val="-2"/>
          <w:sz w:val="18"/>
          <w:szCs w:val="18"/>
          <w:lang w:val="uk-UA"/>
        </w:rPr>
        <w:t>роках та його затвердження</w:t>
      </w:r>
      <w:r>
        <w:rPr>
          <w:b/>
          <w:bCs/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 xml:space="preserve">рішення: затвердити звіт Генерального директора Товариства про результати фінансово - господарської діяльності Товариства у 2019, 2020 роках.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z w:val="18"/>
          <w:szCs w:val="18"/>
          <w:lang w:val="uk-UA"/>
        </w:rPr>
        <w:t xml:space="preserve">3. Розгляд звіту та висновку Ревізійної комісії Товариства по звіту та балансу Товариства за 2019, 2020 роки та його затвердження.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>рішення: затвердити звіт та висновок Ревізійної комісії Товариства по звіту та балансу Товариства за 2019, 2020 рік.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z w:val="18"/>
          <w:szCs w:val="18"/>
          <w:lang w:val="uk-UA"/>
        </w:rPr>
        <w:t>4. Розгляд звіту Наглядової ради Товариства про діяльність у 2019, 2020 роках та його затвердження.</w:t>
      </w:r>
      <w:r>
        <w:rPr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 xml:space="preserve">рішення: затвердити звіт Наглядової ради Товариства про діяльність у 2019, 2020 роках.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z w:val="18"/>
          <w:szCs w:val="18"/>
          <w:lang w:val="uk-UA"/>
        </w:rPr>
        <w:t>5. Прийняття рішення за наслідками розгляду звіту Наглядової ради, звіту Ревізійної комісії, звіту виконавчого органу Товариства.</w:t>
      </w:r>
      <w:r>
        <w:rPr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>рішення: визнати роботу Наглядової ради, Ревізійної комісії та Генерального директора Товариства у звітному періоді задовільною.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z w:val="18"/>
          <w:szCs w:val="18"/>
          <w:lang w:val="uk-UA"/>
        </w:rPr>
        <w:t xml:space="preserve">6. Затвердження річного звіту Товариства.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>рішення:  затвердити Річний звіт Товариства за 2019 рік та Річний звіт Товариства за 20</w:t>
      </w:r>
      <w:r>
        <w:rPr>
          <w:spacing w:val="-2"/>
          <w:sz w:val="18"/>
          <w:szCs w:val="18"/>
        </w:rPr>
        <w:t>20</w:t>
      </w:r>
      <w:r>
        <w:rPr>
          <w:spacing w:val="-2"/>
          <w:sz w:val="18"/>
          <w:szCs w:val="18"/>
          <w:lang w:val="uk-UA"/>
        </w:rPr>
        <w:t xml:space="preserve"> рік. </w:t>
      </w:r>
      <w:r>
        <w:rPr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z w:val="18"/>
          <w:szCs w:val="18"/>
          <w:lang w:val="uk-UA"/>
        </w:rPr>
        <w:t>7. Розподіл прибутку і збитків Товариства з урахуванням вимог, передбачених чинним законодавством.</w:t>
      </w:r>
      <w:r>
        <w:rPr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 xml:space="preserve">рішення: </w:t>
      </w:r>
      <w:r>
        <w:rPr>
          <w:color w:val="000000"/>
          <w:spacing w:val="-2"/>
          <w:sz w:val="18"/>
          <w:szCs w:val="18"/>
          <w:lang w:val="uk-UA"/>
        </w:rPr>
        <w:t>розподіл прибутку звітного періоду не проводити, збитки покрити у відповідності до вимог чинного законодавства.</w:t>
      </w:r>
      <w:r>
        <w:rPr>
          <w:spacing w:val="-2"/>
          <w:sz w:val="18"/>
          <w:szCs w:val="18"/>
          <w:lang w:val="uk-UA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color w:val="000000"/>
          <w:sz w:val="18"/>
          <w:szCs w:val="18"/>
          <w:lang w:val="uk-UA" w:eastAsia="ru-RU"/>
        </w:rPr>
        <w:t>8. Схвалення дій Генерального директора та Наглядової ради Товариства.</w:t>
      </w:r>
      <w:r>
        <w:rPr>
          <w:color w:val="000000"/>
          <w:sz w:val="18"/>
          <w:szCs w:val="18"/>
          <w:lang w:val="uk-UA" w:eastAsia="ru-RU"/>
        </w:rPr>
        <w:t xml:space="preserve"> </w:t>
      </w:r>
      <w:r>
        <w:rPr>
          <w:color w:val="000000"/>
          <w:spacing w:val="-2"/>
          <w:sz w:val="18"/>
          <w:szCs w:val="18"/>
          <w:lang w:eastAsia="ru-RU"/>
        </w:rPr>
        <w:t xml:space="preserve">Проект </w:t>
      </w:r>
      <w:r>
        <w:rPr>
          <w:color w:val="000000"/>
          <w:spacing w:val="-2"/>
          <w:sz w:val="18"/>
          <w:szCs w:val="18"/>
          <w:lang w:val="uk-UA" w:eastAsia="ru-RU"/>
        </w:rPr>
        <w:t>рішення: с</w:t>
      </w:r>
      <w:r>
        <w:rPr>
          <w:color w:val="000000"/>
          <w:sz w:val="18"/>
          <w:szCs w:val="18"/>
          <w:lang w:val="uk-UA" w:eastAsia="ar-SA"/>
        </w:rPr>
        <w:t>хвалити дії Генерального директора та Наглядової ради Товариства щодо укладення та виконання правочинів протягом 2019-</w:t>
      </w:r>
      <w:r>
        <w:rPr>
          <w:color w:val="000000"/>
          <w:sz w:val="18"/>
          <w:szCs w:val="18"/>
          <w:lang w:eastAsia="ar-SA"/>
        </w:rPr>
        <w:t>2020</w:t>
      </w:r>
      <w:r>
        <w:rPr>
          <w:color w:val="000000"/>
          <w:sz w:val="18"/>
          <w:szCs w:val="18"/>
          <w:lang w:val="uk-UA" w:eastAsia="ar-SA"/>
        </w:rPr>
        <w:t xml:space="preserve"> р., а також прийняті ними протягом 2019-</w:t>
      </w:r>
      <w:r>
        <w:rPr>
          <w:color w:val="000000"/>
          <w:sz w:val="18"/>
          <w:szCs w:val="18"/>
          <w:lang w:eastAsia="ar-SA"/>
        </w:rPr>
        <w:t>2020</w:t>
      </w:r>
      <w:r>
        <w:rPr>
          <w:color w:val="000000"/>
          <w:sz w:val="18"/>
          <w:szCs w:val="18"/>
          <w:lang w:val="uk-UA" w:eastAsia="ar-SA"/>
        </w:rPr>
        <w:t xml:space="preserve"> р. рішення.</w:t>
      </w:r>
    </w:p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both"/>
      </w:pPr>
      <w:r>
        <w:rPr>
          <w:b/>
          <w:bCs/>
          <w:color w:val="000000"/>
          <w:sz w:val="18"/>
          <w:szCs w:val="18"/>
          <w:lang w:val="uk-UA" w:eastAsia="ar-SA"/>
        </w:rPr>
        <w:t>9. Про попереднє надання згоди на вчинення Товариством значних правочинів та надання відповідних повноважень.</w:t>
      </w:r>
      <w:r>
        <w:rPr>
          <w:color w:val="000000"/>
          <w:sz w:val="18"/>
          <w:szCs w:val="18"/>
          <w:lang w:val="uk-UA" w:eastAsia="ar-SA"/>
        </w:rPr>
        <w:t xml:space="preserve"> </w:t>
      </w:r>
      <w:r>
        <w:rPr>
          <w:color w:val="000000"/>
          <w:spacing w:val="-2"/>
          <w:sz w:val="18"/>
          <w:szCs w:val="18"/>
          <w:lang w:eastAsia="ar-SA"/>
        </w:rPr>
        <w:t xml:space="preserve">Проект </w:t>
      </w:r>
      <w:r>
        <w:rPr>
          <w:color w:val="000000"/>
          <w:spacing w:val="-2"/>
          <w:sz w:val="18"/>
          <w:szCs w:val="18"/>
          <w:lang w:val="uk-UA" w:eastAsia="ar-SA"/>
        </w:rPr>
        <w:t>рішення: прийняти рішення про попереднє надання згоди на вчинення значних правочинів, які вчинятимуться Товариством у строк до 2</w:t>
      </w:r>
      <w:r>
        <w:rPr>
          <w:color w:val="000000"/>
          <w:spacing w:val="-2"/>
          <w:sz w:val="18"/>
          <w:szCs w:val="18"/>
          <w:lang w:eastAsia="ar-SA"/>
        </w:rPr>
        <w:t>3</w:t>
      </w:r>
      <w:r>
        <w:rPr>
          <w:color w:val="000000"/>
          <w:spacing w:val="-2"/>
          <w:sz w:val="18"/>
          <w:szCs w:val="18"/>
          <w:lang w:val="uk-UA" w:eastAsia="ar-SA"/>
        </w:rPr>
        <w:t xml:space="preserve"> квітня </w:t>
      </w:r>
      <w:r>
        <w:rPr>
          <w:color w:val="000000"/>
          <w:spacing w:val="-2"/>
          <w:sz w:val="18"/>
          <w:szCs w:val="18"/>
          <w:lang w:eastAsia="ar-SA"/>
        </w:rPr>
        <w:t>2022</w:t>
      </w:r>
      <w:r>
        <w:rPr>
          <w:color w:val="000000"/>
          <w:spacing w:val="-2"/>
          <w:sz w:val="18"/>
          <w:szCs w:val="18"/>
          <w:lang w:val="uk-UA" w:eastAsia="ar-SA"/>
        </w:rPr>
        <w:t xml:space="preserve"> року, граничною сукупною вартістю 300 000 000 (триста мільйонів) гривень наступного характеру:</w:t>
      </w:r>
      <w:r>
        <w:rPr>
          <w:color w:val="000000"/>
          <w:sz w:val="18"/>
          <w:szCs w:val="18"/>
          <w:lang w:val="uk-UA" w:eastAsia="ar-SA"/>
        </w:rPr>
        <w:t xml:space="preserve"> </w:t>
      </w:r>
      <w:r>
        <w:rPr>
          <w:color w:val="000000"/>
          <w:spacing w:val="-2"/>
          <w:sz w:val="18"/>
          <w:szCs w:val="18"/>
          <w:lang w:val="uk-UA" w:eastAsia="ar-SA"/>
        </w:rPr>
        <w:t xml:space="preserve">позики, кредиту, іпотеки, </w:t>
      </w:r>
      <w:r>
        <w:rPr>
          <w:color w:val="000000"/>
          <w:sz w:val="18"/>
          <w:szCs w:val="18"/>
          <w:lang w:val="uk-UA" w:eastAsia="ar-SA"/>
        </w:rPr>
        <w:t>гарантії, поруки, майнової поруки,</w:t>
      </w:r>
      <w:r>
        <w:rPr>
          <w:color w:val="000000"/>
          <w:spacing w:val="-2"/>
          <w:sz w:val="18"/>
          <w:szCs w:val="18"/>
          <w:lang w:val="uk-UA" w:eastAsia="ar-SA"/>
        </w:rPr>
        <w:t xml:space="preserve"> спільної діяльності, оренди (в т.ч. землі та іншого нерухомого майна), купівлі-продажу (в т.ч. нерухомості, цінних паперів, основних фондів, майнових прав, прав вимоги), проектування, підряду (в т.ч. будівельного), договорів, пов’язаних з організацією та фінансуванням будівництва, реконструкцією та капітальним ремонтом будинків, будівель, споруд, договорів про пайову участь у створенні і розвитку інженерно-транспортної та соціальної інфраструктури</w:t>
      </w:r>
      <w:r>
        <w:rPr>
          <w:color w:val="000000"/>
          <w:sz w:val="18"/>
          <w:szCs w:val="18"/>
          <w:lang w:val="uk-UA" w:eastAsia="ar-SA"/>
        </w:rPr>
        <w:t xml:space="preserve">. </w:t>
      </w:r>
      <w:r>
        <w:rPr>
          <w:color w:val="000000"/>
          <w:spacing w:val="-2"/>
          <w:sz w:val="18"/>
          <w:szCs w:val="18"/>
          <w:lang w:val="uk-UA" w:eastAsia="ar-SA"/>
        </w:rPr>
        <w:t>Укладення кожного правочину, визначеного цим рішенням, повинно відбуватись виконавчим органом Товариства лише за погодженням (протоколом) Наглядової ради Товариства.</w:t>
      </w:r>
    </w:p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both"/>
      </w:pPr>
      <w:r>
        <w:rPr>
          <w:b/>
          <w:bCs/>
          <w:color w:val="000000"/>
          <w:spacing w:val="-2"/>
          <w:sz w:val="18"/>
          <w:szCs w:val="18"/>
          <w:lang w:val="uk-UA" w:eastAsia="ar-SA"/>
        </w:rPr>
        <w:t>10</w:t>
      </w:r>
      <w:r>
        <w:rPr>
          <w:b/>
          <w:bCs/>
          <w:color w:val="000000"/>
          <w:spacing w:val="-2"/>
          <w:sz w:val="18"/>
          <w:szCs w:val="18"/>
          <w:lang w:eastAsia="ar-SA"/>
        </w:rPr>
        <w:t xml:space="preserve">. </w:t>
      </w:r>
      <w:r>
        <w:rPr>
          <w:b/>
          <w:bCs/>
          <w:color w:val="000000"/>
          <w:spacing w:val="-2"/>
          <w:sz w:val="18"/>
          <w:szCs w:val="18"/>
          <w:lang w:val="uk-UA" w:eastAsia="ar-SA"/>
        </w:rPr>
        <w:t>Прийняття рішення про припинення повноважень членів Наглядової ради та Ревізійної комісії Товариства.</w:t>
      </w:r>
      <w:r>
        <w:rPr>
          <w:color w:val="000000"/>
          <w:spacing w:val="-2"/>
          <w:sz w:val="18"/>
          <w:szCs w:val="18"/>
          <w:lang w:val="uk-UA" w:eastAsia="ar-SA"/>
        </w:rPr>
        <w:t xml:space="preserve"> </w:t>
      </w:r>
      <w:r>
        <w:rPr>
          <w:spacing w:val="-2"/>
          <w:sz w:val="18"/>
          <w:szCs w:val="18"/>
          <w:lang w:eastAsia="ar-SA"/>
        </w:rPr>
        <w:t xml:space="preserve">Проект </w:t>
      </w:r>
      <w:r>
        <w:rPr>
          <w:spacing w:val="-2"/>
          <w:sz w:val="18"/>
          <w:szCs w:val="18"/>
          <w:lang w:val="uk-UA" w:eastAsia="ar-SA"/>
        </w:rPr>
        <w:t>рішення:  п</w:t>
      </w:r>
      <w:r>
        <w:rPr>
          <w:spacing w:val="-2"/>
          <w:sz w:val="18"/>
          <w:szCs w:val="18"/>
          <w:lang w:val="uk-UA" w:eastAsia="ru-RU"/>
        </w:rPr>
        <w:t>рипинити повноваження членів Наглядової ради Товариства — Афанасьєва Наталя Вікторівна</w:t>
      </w:r>
      <w:r>
        <w:rPr>
          <w:color w:val="000000"/>
          <w:spacing w:val="-2"/>
          <w:sz w:val="18"/>
          <w:szCs w:val="18"/>
          <w:lang w:val="uk-UA" w:eastAsia="ru-RU"/>
        </w:rPr>
        <w:t xml:space="preserve">, </w:t>
      </w:r>
      <w:r>
        <w:rPr>
          <w:spacing w:val="-2"/>
          <w:sz w:val="18"/>
          <w:szCs w:val="18"/>
          <w:lang w:val="uk-UA" w:eastAsia="ru-RU"/>
        </w:rPr>
        <w:t>Бойченко Ганна Анатоліївна,</w:t>
      </w:r>
      <w:r>
        <w:rPr>
          <w:color w:val="000000"/>
          <w:spacing w:val="-2"/>
          <w:sz w:val="18"/>
          <w:szCs w:val="18"/>
          <w:lang w:val="uk-UA" w:eastAsia="ru-RU"/>
        </w:rPr>
        <w:t xml:space="preserve"> </w:t>
      </w:r>
      <w:r>
        <w:rPr>
          <w:spacing w:val="-2"/>
          <w:sz w:val="18"/>
          <w:szCs w:val="18"/>
          <w:lang w:val="uk-UA" w:eastAsia="ru-RU"/>
        </w:rPr>
        <w:t xml:space="preserve">Вєлкова Свiтлана Миколаївна.  та членів Ревізійної комісії Товариства — </w:t>
      </w:r>
      <w:r>
        <w:rPr>
          <w:sz w:val="18"/>
          <w:szCs w:val="18"/>
          <w:lang w:val="uk-UA" w:eastAsia="uk-UA"/>
        </w:rPr>
        <w:t xml:space="preserve">Турмис Галина Валерiївна та </w:t>
      </w:r>
      <w:r>
        <w:rPr>
          <w:color w:val="000000"/>
          <w:sz w:val="18"/>
          <w:szCs w:val="18"/>
          <w:lang w:val="uk-UA" w:eastAsia="uk-UA"/>
        </w:rPr>
        <w:t>Дідух Сергій Мирославович</w:t>
      </w:r>
      <w:r>
        <w:rPr>
          <w:color w:val="000000"/>
          <w:sz w:val="18"/>
          <w:szCs w:val="18"/>
          <w:lang w:val="uk-UA" w:eastAsia="ru-RU"/>
        </w:rPr>
        <w:t>.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z w:val="18"/>
          <w:szCs w:val="18"/>
          <w:lang w:val="uk-UA"/>
        </w:rPr>
        <w:t xml:space="preserve">11. </w:t>
      </w:r>
      <w:r>
        <w:rPr>
          <w:b/>
          <w:bCs/>
          <w:spacing w:val="-2"/>
          <w:sz w:val="18"/>
          <w:szCs w:val="18"/>
          <w:lang w:val="uk-UA"/>
        </w:rPr>
        <w:t xml:space="preserve">Внесення змін до статуту Товариства шляхом викладення його у новій редакції, надання повноважень щодо підписання та державної реєстрації статуту Товариства у новій редакції. 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spacing w:val="-2"/>
          <w:sz w:val="18"/>
          <w:szCs w:val="18"/>
        </w:rPr>
        <w:t xml:space="preserve">Проект </w:t>
      </w:r>
      <w:r>
        <w:rPr>
          <w:spacing w:val="-2"/>
          <w:sz w:val="18"/>
          <w:szCs w:val="18"/>
          <w:lang w:val="uk-UA"/>
        </w:rPr>
        <w:t>рішення: в</w:t>
      </w:r>
      <w:r>
        <w:rPr>
          <w:spacing w:val="-2"/>
          <w:sz w:val="18"/>
          <w:szCs w:val="18"/>
          <w:lang w:val="uk-UA" w:bidi="hi-IN"/>
        </w:rPr>
        <w:t>нести зміни до статуту Товариства шляхом викладення його у новій редакції. Надати повноваження Генеральному директору Товариства підписати статут Товариства у новій редакції та вчинити всі необхідні та юридично значимі дії щодо державної реєстрації статуту Товариства у новій редакції.</w:t>
      </w:r>
    </w:p>
    <w:p w:rsidR="00E0230F" w:rsidRDefault="00E0230F">
      <w:pPr>
        <w:tabs>
          <w:tab w:val="left" w:pos="720"/>
          <w:tab w:val="left" w:pos="9720"/>
        </w:tabs>
        <w:jc w:val="both"/>
      </w:pPr>
      <w:r>
        <w:rPr>
          <w:b/>
          <w:bCs/>
          <w:spacing w:val="-2"/>
          <w:sz w:val="18"/>
          <w:szCs w:val="18"/>
          <w:lang w:val="uk-UA" w:bidi="hi-IN"/>
        </w:rPr>
        <w:t xml:space="preserve">12. Обрання членів Наглядової ради та </w:t>
      </w:r>
      <w:r>
        <w:rPr>
          <w:b/>
          <w:bCs/>
          <w:color w:val="000000"/>
          <w:spacing w:val="-2"/>
          <w:sz w:val="18"/>
          <w:szCs w:val="18"/>
          <w:lang w:val="uk-UA" w:bidi="hi-IN"/>
        </w:rPr>
        <w:t>Ревізійної комісії</w:t>
      </w:r>
      <w:r>
        <w:rPr>
          <w:b/>
          <w:bCs/>
          <w:spacing w:val="-2"/>
          <w:sz w:val="18"/>
          <w:szCs w:val="18"/>
          <w:lang w:val="uk-UA" w:bidi="hi-IN"/>
        </w:rPr>
        <w:t xml:space="preserve"> Товариства. </w:t>
      </w:r>
      <w:r>
        <w:rPr>
          <w:spacing w:val="-2"/>
          <w:sz w:val="18"/>
          <w:szCs w:val="18"/>
          <w:lang w:bidi="hi-IN"/>
        </w:rPr>
        <w:t xml:space="preserve">Проект </w:t>
      </w:r>
      <w:r>
        <w:rPr>
          <w:spacing w:val="-2"/>
          <w:sz w:val="18"/>
          <w:szCs w:val="18"/>
          <w:lang w:val="uk-UA" w:bidi="hi-IN"/>
        </w:rPr>
        <w:t>рішення: о</w:t>
      </w:r>
      <w:r>
        <w:rPr>
          <w:color w:val="000000"/>
          <w:spacing w:val="-2"/>
          <w:sz w:val="18"/>
          <w:szCs w:val="18"/>
          <w:lang w:val="uk-UA" w:bidi="hi-IN"/>
        </w:rPr>
        <w:t>брати Наглядову раду ПрАТ "</w:t>
      </w:r>
      <w:r>
        <w:rPr>
          <w:color w:val="000000"/>
          <w:spacing w:val="-2"/>
          <w:sz w:val="18"/>
          <w:szCs w:val="18"/>
          <w:lang w:val="uk-UA" w:eastAsia="ru-RU" w:bidi="hi-IN"/>
        </w:rPr>
        <w:t>АМ “ФАРМАЦІЯ</w:t>
      </w:r>
      <w:r>
        <w:rPr>
          <w:color w:val="000000"/>
          <w:spacing w:val="-2"/>
          <w:sz w:val="18"/>
          <w:szCs w:val="18"/>
          <w:lang w:val="uk-UA" w:bidi="hi-IN"/>
        </w:rPr>
        <w:t xml:space="preserve">" на строк, визначений статутом Товариства, у складі 3-х осіб:  </w:t>
      </w:r>
      <w:r>
        <w:rPr>
          <w:spacing w:val="-2"/>
          <w:sz w:val="18"/>
          <w:szCs w:val="18"/>
          <w:lang w:val="uk-UA" w:eastAsia="ru-RU"/>
        </w:rPr>
        <w:t>Афанасьєва Наталя Вікторівна</w:t>
      </w:r>
      <w:r>
        <w:rPr>
          <w:color w:val="000000"/>
          <w:spacing w:val="-2"/>
          <w:sz w:val="18"/>
          <w:szCs w:val="18"/>
          <w:lang w:val="uk-UA" w:eastAsia="ru-RU"/>
        </w:rPr>
        <w:t xml:space="preserve">, </w:t>
      </w:r>
      <w:r>
        <w:rPr>
          <w:spacing w:val="-2"/>
          <w:sz w:val="18"/>
          <w:szCs w:val="18"/>
          <w:lang w:val="uk-UA" w:eastAsia="ru-RU"/>
        </w:rPr>
        <w:t>Бойченко Ганна Анатоліївна,</w:t>
      </w:r>
      <w:r>
        <w:rPr>
          <w:color w:val="000000"/>
          <w:spacing w:val="-2"/>
          <w:sz w:val="18"/>
          <w:szCs w:val="18"/>
          <w:lang w:val="uk-UA" w:eastAsia="ru-RU"/>
        </w:rPr>
        <w:t xml:space="preserve"> </w:t>
      </w:r>
      <w:r>
        <w:rPr>
          <w:spacing w:val="-2"/>
          <w:sz w:val="18"/>
          <w:szCs w:val="18"/>
          <w:lang w:val="uk-UA" w:eastAsia="ru-RU"/>
        </w:rPr>
        <w:t xml:space="preserve">Вєлкова Свiтлана Миколаївна. </w:t>
      </w:r>
      <w:r>
        <w:rPr>
          <w:color w:val="000000"/>
          <w:spacing w:val="-2"/>
          <w:sz w:val="18"/>
          <w:szCs w:val="18"/>
          <w:lang w:val="uk-UA" w:bidi="hi-IN"/>
        </w:rPr>
        <w:t>Обрати Ревізійну комісію ПрАТ "</w:t>
      </w:r>
      <w:r>
        <w:rPr>
          <w:color w:val="000000"/>
          <w:spacing w:val="-2"/>
          <w:sz w:val="18"/>
          <w:szCs w:val="18"/>
          <w:lang w:val="uk-UA" w:eastAsia="ru-RU" w:bidi="hi-IN"/>
        </w:rPr>
        <w:t>АМ “ФАРМАЦІЯ</w:t>
      </w:r>
      <w:r>
        <w:rPr>
          <w:color w:val="000000"/>
          <w:spacing w:val="-2"/>
          <w:sz w:val="18"/>
          <w:szCs w:val="18"/>
          <w:lang w:val="uk-UA" w:bidi="hi-IN"/>
        </w:rPr>
        <w:t xml:space="preserve">" на строк, визначений статутом Товариства, у складі </w:t>
      </w:r>
      <w:r>
        <w:rPr>
          <w:color w:val="000000"/>
          <w:spacing w:val="-2"/>
          <w:sz w:val="18"/>
          <w:szCs w:val="18"/>
          <w:lang w:bidi="hi-IN"/>
        </w:rPr>
        <w:t>2</w:t>
      </w:r>
      <w:r>
        <w:rPr>
          <w:color w:val="000000"/>
          <w:spacing w:val="-2"/>
          <w:sz w:val="18"/>
          <w:szCs w:val="18"/>
          <w:lang w:val="uk-UA" w:bidi="hi-IN"/>
        </w:rPr>
        <w:t xml:space="preserve"> осіб:</w:t>
      </w:r>
      <w:r>
        <w:rPr>
          <w:color w:val="000000"/>
          <w:sz w:val="18"/>
          <w:szCs w:val="18"/>
          <w:lang w:val="uk-UA" w:eastAsia="ru-RU"/>
        </w:rPr>
        <w:t xml:space="preserve"> Мініна Вікторія Олександрівна,</w:t>
      </w:r>
      <w:r>
        <w:rPr>
          <w:sz w:val="18"/>
          <w:szCs w:val="18"/>
          <w:lang w:val="uk-UA" w:eastAsia="uk-UA"/>
        </w:rPr>
        <w:t>Турмис Галина Валерiївн</w:t>
      </w:r>
      <w:r>
        <w:rPr>
          <w:color w:val="000000"/>
          <w:sz w:val="18"/>
          <w:szCs w:val="18"/>
          <w:lang w:val="uk-UA" w:eastAsia="ru-RU"/>
        </w:rPr>
        <w:t>а.</w:t>
      </w:r>
    </w:p>
    <w:p w:rsidR="00E0230F" w:rsidRDefault="00E0230F">
      <w:pPr>
        <w:tabs>
          <w:tab w:val="left" w:pos="720"/>
          <w:tab w:val="left" w:pos="9720"/>
        </w:tabs>
        <w:jc w:val="both"/>
        <w:rPr>
          <w:sz w:val="18"/>
          <w:szCs w:val="18"/>
        </w:rPr>
      </w:pPr>
    </w:p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both"/>
      </w:pPr>
      <w:r>
        <w:rPr>
          <w:rFonts w:cs="Times New Roman CYR"/>
          <w:sz w:val="20"/>
          <w:szCs w:val="20"/>
          <w:lang w:val="uk-UA"/>
        </w:rPr>
        <w:t xml:space="preserve">Адреса </w:t>
      </w:r>
      <w:r>
        <w:rPr>
          <w:rFonts w:cs="Times New Roman CYR"/>
          <w:sz w:val="20"/>
          <w:szCs w:val="20"/>
        </w:rPr>
        <w:t>власного</w:t>
      </w:r>
      <w:r>
        <w:rPr>
          <w:rFonts w:cs="Times New Roman CYR"/>
          <w:sz w:val="20"/>
          <w:szCs w:val="20"/>
          <w:lang w:val="uk-UA"/>
        </w:rPr>
        <w:t xml:space="preserve"> веб-сайт</w:t>
      </w:r>
      <w:r>
        <w:rPr>
          <w:rFonts w:cs="Times New Roman CYR"/>
          <w:sz w:val="20"/>
          <w:szCs w:val="20"/>
        </w:rPr>
        <w:t>у</w:t>
      </w:r>
      <w:r>
        <w:rPr>
          <w:rFonts w:cs="Times New Roman CYR"/>
          <w:sz w:val="20"/>
          <w:szCs w:val="20"/>
          <w:lang w:val="uk-UA"/>
        </w:rPr>
        <w:t xml:space="preserve"> Товариства</w:t>
      </w:r>
      <w:r>
        <w:rPr>
          <w:color w:val="000000"/>
          <w:sz w:val="20"/>
          <w:szCs w:val="20"/>
          <w:lang w:val="uk-UA"/>
        </w:rPr>
        <w:t xml:space="preserve">: </w:t>
      </w:r>
      <w:hyperlink r:id="rId5" w:history="1">
        <w:r>
          <w:rPr>
            <w:rStyle w:val="Hyperlink"/>
            <w:sz w:val="20"/>
            <w:szCs w:val="20"/>
            <w:lang w:val="uk-UA"/>
          </w:rPr>
          <w:t>http://www.farmacia.in.ua</w:t>
        </w:r>
      </w:hyperlink>
      <w:r>
        <w:rPr>
          <w:rStyle w:val="Hyperlink"/>
          <w:sz w:val="20"/>
          <w:szCs w:val="20"/>
          <w:lang w:val="uk-UA"/>
        </w:rPr>
        <w:t xml:space="preserve">.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both"/>
      </w:pPr>
      <w:r>
        <w:rPr>
          <w:rStyle w:val="Hyperlink"/>
          <w:color w:val="auto"/>
          <w:sz w:val="20"/>
          <w:szCs w:val="20"/>
          <w:u w:val="none"/>
          <w:lang w:val="uk-UA"/>
        </w:rPr>
        <w:t>Після</w:t>
      </w:r>
      <w:r>
        <w:rPr>
          <w:rStyle w:val="Hyperlink"/>
          <w:color w:val="auto"/>
          <w:sz w:val="20"/>
          <w:szCs w:val="20"/>
          <w:u w:val="none"/>
        </w:rPr>
        <w:t xml:space="preserve"> отримання </w:t>
      </w:r>
      <w:r>
        <w:rPr>
          <w:rStyle w:val="Hyperlink"/>
          <w:color w:val="auto"/>
          <w:sz w:val="20"/>
          <w:szCs w:val="20"/>
          <w:u w:val="none"/>
          <w:lang w:val="uk-UA"/>
        </w:rPr>
        <w:t xml:space="preserve">повідомлення про проведення загальних зборів, акціонери Товариства мають можливість скористатись правами, передбаченими статтями 36 та 38 Закону України “Про акціонерні товариства”. </w:t>
      </w:r>
      <w:r>
        <w:rPr>
          <w:sz w:val="20"/>
          <w:szCs w:val="20"/>
          <w:lang w:val="uk-UA"/>
        </w:rPr>
        <w:t>Порядок ознайомлення акціонерів з матеріалами, з якими вони можуть ознайомитися під час підготовки до загальних зборів: акціонери Товариства можуть ознайомитись з документами, необхідними для прийняття рішень з питань порядку денного, у строк з дати надіслання повідомлення про проведення загальних зборів до дати проведення загальних зборів за адресою: 65005, м. Одеса, вул. Михайлівська, 44-В, 3-й поверх, кімната № 4. Відповідальний за порядок ознайомлення акціонерів з документами - генеральний директор Ліпкіна А.Н. Довідки за телефоном (048) 720-51-62</w:t>
      </w:r>
      <w:r>
        <w:rPr>
          <w:b/>
          <w:bCs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Пропозиції до порядку денного загальних зборів вносяться акціонерами Товариства у порядку та строки, передбачені статею 38 Закону України “Про акціонерні товариства”. Загальна кількість акцій Товариства станом на дату складання переліку осіб, яким надсилається повідомлення про проведення загальних зборів — 392157. Загальна кількість голосуючих акцій Товариства станом на дату складання переліку осіб, яким надсилається повідомлення про проведення загальних зборів — 3</w:t>
      </w:r>
      <w:r>
        <w:rPr>
          <w:sz w:val="20"/>
          <w:szCs w:val="20"/>
        </w:rPr>
        <w:t>45</w:t>
      </w:r>
      <w:r w:rsidRPr="008219BB">
        <w:rPr>
          <w:sz w:val="20"/>
          <w:szCs w:val="20"/>
        </w:rPr>
        <w:t xml:space="preserve"> 252</w:t>
      </w:r>
      <w:r>
        <w:rPr>
          <w:sz w:val="20"/>
          <w:szCs w:val="20"/>
          <w:lang w:val="uk-UA"/>
        </w:rPr>
        <w:t xml:space="preserve">.                       </w:t>
      </w:r>
      <w:r>
        <w:rPr>
          <w:sz w:val="17"/>
          <w:szCs w:val="17"/>
          <w:lang w:val="uk-UA"/>
        </w:rPr>
        <w:t xml:space="preserve">        </w:t>
      </w:r>
    </w:p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center"/>
      </w:pPr>
    </w:p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center"/>
      </w:pPr>
      <w:r>
        <w:t>Основні показники фінансово-господарської діяльності підприємства (тис.грн)</w:t>
      </w:r>
    </w:p>
    <w:tbl>
      <w:tblPr>
        <w:tblW w:w="0" w:type="auto"/>
        <w:tblInd w:w="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19"/>
        <w:gridCol w:w="1812"/>
        <w:gridCol w:w="1620"/>
      </w:tblGrid>
      <w:tr w:rsidR="00E0230F">
        <w:tc>
          <w:tcPr>
            <w:tcW w:w="7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bookmarkStart w:id="0" w:name="n1582"/>
            <w:bookmarkEnd w:id="0"/>
            <w:r>
              <w:rPr>
                <w:sz w:val="17"/>
                <w:szCs w:val="17"/>
              </w:rPr>
              <w:t>Найменування показника</w:t>
            </w:r>
          </w:p>
        </w:tc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</w:rPr>
              <w:t>Період</w:t>
            </w:r>
          </w:p>
        </w:tc>
      </w:tr>
      <w:tr w:rsidR="00E0230F">
        <w:tc>
          <w:tcPr>
            <w:tcW w:w="7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</w:rPr>
              <w:t>Звітний 2020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</w:rPr>
              <w:t>Попередній 2019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Усього активів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155 006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215 825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Основні засоби (за залишковою вартістю)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19 005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19 628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Запаси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56 012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95 507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Сумарна дебіторська заборгованість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8 412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7 488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Гроші та їх еквіваленти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14 678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18 505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Нерозподілений прибуток (непокритий збиток)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(16 151)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(24 390)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Власний капітал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21  665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31 054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Зареєстрований (пайовий/статутний) капітал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uk-UA"/>
              </w:rPr>
              <w:t>1 961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1 961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Довгострокові зобов'язання і забезпечення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27 258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21 177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Поточні зобов'язання і забезпечення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106 083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163 594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Чистий фінансовий результат: прибуток (збиток)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(8 179)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(4 985)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Середньорічна кількість акцій (шт.)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uk-UA"/>
              </w:rPr>
              <w:t>392 157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392 157</w:t>
            </w:r>
          </w:p>
        </w:tc>
      </w:tr>
      <w:tr w:rsidR="00E0230F">
        <w:tc>
          <w:tcPr>
            <w:tcW w:w="7119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4"/>
              <w:snapToGrid w:val="0"/>
              <w:spacing w:before="0" w:after="0"/>
            </w:pPr>
            <w:r>
              <w:rPr>
                <w:sz w:val="17"/>
                <w:szCs w:val="17"/>
              </w:rPr>
              <w:t>Чистий прибуток (збиток) на одну просту акцію (грн)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(20, 85644)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30F" w:rsidRDefault="00E0230F">
            <w:pPr>
              <w:pStyle w:val="rvps12"/>
              <w:snapToGrid w:val="0"/>
              <w:spacing w:before="0" w:after="0"/>
              <w:jc w:val="center"/>
            </w:pPr>
            <w:r>
              <w:rPr>
                <w:sz w:val="17"/>
                <w:szCs w:val="17"/>
                <w:lang w:val="en-US"/>
              </w:rPr>
              <w:t>(12, 71175)</w:t>
            </w:r>
          </w:p>
        </w:tc>
      </w:tr>
    </w:tbl>
    <w:p w:rsidR="00E0230F" w:rsidRDefault="00E0230F">
      <w:pPr>
        <w:tabs>
          <w:tab w:val="left" w:pos="720"/>
          <w:tab w:val="left" w:pos="9720"/>
        </w:tabs>
        <w:autoSpaceDE w:val="0"/>
        <w:snapToGrid w:val="0"/>
        <w:jc w:val="right"/>
      </w:pPr>
      <w:bookmarkStart w:id="1" w:name="n1583"/>
      <w:bookmarkEnd w:id="1"/>
      <w:r>
        <w:rPr>
          <w:b/>
          <w:bCs/>
          <w:sz w:val="17"/>
          <w:szCs w:val="17"/>
          <w:lang w:val="uk-UA"/>
        </w:rPr>
        <w:t>Затверджено Наглядовою радою Товариств</w:t>
      </w:r>
      <w:r>
        <w:rPr>
          <w:b/>
          <w:bCs/>
          <w:sz w:val="16"/>
          <w:szCs w:val="16"/>
          <w:lang w:val="uk-UA"/>
        </w:rPr>
        <w:t>а</w:t>
      </w:r>
    </w:p>
    <w:p w:rsidR="00E0230F" w:rsidRDefault="00E0230F">
      <w:pPr>
        <w:snapToGrid w:val="0"/>
        <w:jc w:val="right"/>
        <w:rPr>
          <w:b/>
          <w:bCs/>
          <w:sz w:val="16"/>
          <w:szCs w:val="16"/>
          <w:lang w:val="uk-UA"/>
        </w:rPr>
      </w:pPr>
    </w:p>
    <w:p w:rsidR="00E0230F" w:rsidRDefault="00E0230F">
      <w:pPr>
        <w:snapToGrid w:val="0"/>
        <w:jc w:val="right"/>
        <w:rPr>
          <w:b/>
          <w:bCs/>
          <w:sz w:val="16"/>
          <w:szCs w:val="16"/>
          <w:lang w:val="uk-UA"/>
        </w:rPr>
      </w:pPr>
    </w:p>
    <w:p w:rsidR="00E0230F" w:rsidRDefault="00E0230F">
      <w:pPr>
        <w:snapToGrid w:val="0"/>
        <w:jc w:val="right"/>
        <w:rPr>
          <w:b/>
          <w:bCs/>
          <w:sz w:val="16"/>
          <w:szCs w:val="16"/>
          <w:lang w:val="uk-UA"/>
        </w:rPr>
      </w:pPr>
    </w:p>
    <w:p w:rsidR="00E0230F" w:rsidRDefault="00E0230F">
      <w:pPr>
        <w:snapToGrid w:val="0"/>
        <w:jc w:val="right"/>
        <w:rPr>
          <w:b/>
          <w:bCs/>
          <w:sz w:val="16"/>
          <w:szCs w:val="16"/>
          <w:lang w:val="uk-UA"/>
        </w:rPr>
      </w:pPr>
    </w:p>
    <w:sectPr w:rsidR="00E0230F" w:rsidSect="00963488">
      <w:pgSz w:w="11906" w:h="16838"/>
      <w:pgMar w:top="680" w:right="680" w:bottom="680" w:left="6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9BB"/>
    <w:rsid w:val="007324E1"/>
    <w:rsid w:val="008219BB"/>
    <w:rsid w:val="00963488"/>
    <w:rsid w:val="009723AB"/>
    <w:rsid w:val="00DC5423"/>
    <w:rsid w:val="00DC789D"/>
    <w:rsid w:val="00E0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88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488"/>
    <w:pPr>
      <w:keepNext/>
      <w:numPr>
        <w:numId w:val="1"/>
      </w:numPr>
      <w:jc w:val="right"/>
      <w:outlineLvl w:val="0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488"/>
    <w:pPr>
      <w:keepNext/>
      <w:numPr>
        <w:ilvl w:val="2"/>
        <w:numId w:val="1"/>
      </w:numPr>
      <w:jc w:val="center"/>
      <w:outlineLvl w:val="2"/>
    </w:pPr>
    <w:rPr>
      <w:b/>
      <w:sz w:val="5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E0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E09"/>
    <w:rPr>
      <w:rFonts w:asciiTheme="majorHAnsi" w:eastAsiaTheme="majorEastAsia" w:hAnsiTheme="majorHAnsi" w:cstheme="majorBidi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963488"/>
  </w:style>
  <w:style w:type="character" w:customStyle="1" w:styleId="WW8Num1z1">
    <w:name w:val="WW8Num1z1"/>
    <w:uiPriority w:val="99"/>
    <w:rsid w:val="00963488"/>
  </w:style>
  <w:style w:type="character" w:customStyle="1" w:styleId="WW8Num1z2">
    <w:name w:val="WW8Num1z2"/>
    <w:uiPriority w:val="99"/>
    <w:rsid w:val="00963488"/>
  </w:style>
  <w:style w:type="character" w:customStyle="1" w:styleId="WW8Num1z3">
    <w:name w:val="WW8Num1z3"/>
    <w:uiPriority w:val="99"/>
    <w:rsid w:val="00963488"/>
  </w:style>
  <w:style w:type="character" w:customStyle="1" w:styleId="WW8Num1z4">
    <w:name w:val="WW8Num1z4"/>
    <w:uiPriority w:val="99"/>
    <w:rsid w:val="00963488"/>
  </w:style>
  <w:style w:type="character" w:customStyle="1" w:styleId="WW8Num1z5">
    <w:name w:val="WW8Num1z5"/>
    <w:uiPriority w:val="99"/>
    <w:rsid w:val="00963488"/>
  </w:style>
  <w:style w:type="character" w:customStyle="1" w:styleId="WW8Num1z6">
    <w:name w:val="WW8Num1z6"/>
    <w:uiPriority w:val="99"/>
    <w:rsid w:val="00963488"/>
  </w:style>
  <w:style w:type="character" w:customStyle="1" w:styleId="WW8Num1z7">
    <w:name w:val="WW8Num1z7"/>
    <w:uiPriority w:val="99"/>
    <w:rsid w:val="00963488"/>
  </w:style>
  <w:style w:type="character" w:customStyle="1" w:styleId="WW8Num1z8">
    <w:name w:val="WW8Num1z8"/>
    <w:uiPriority w:val="99"/>
    <w:rsid w:val="00963488"/>
  </w:style>
  <w:style w:type="character" w:customStyle="1" w:styleId="Absatz-Standardschriftart">
    <w:name w:val="Absatz-Standardschriftart"/>
    <w:uiPriority w:val="99"/>
    <w:rsid w:val="00963488"/>
  </w:style>
  <w:style w:type="character" w:customStyle="1" w:styleId="WW-Absatz-Standardschriftart">
    <w:name w:val="WW-Absatz-Standardschriftart"/>
    <w:uiPriority w:val="99"/>
    <w:rsid w:val="00963488"/>
  </w:style>
  <w:style w:type="character" w:customStyle="1" w:styleId="WW-Absatz-Standardschriftart1">
    <w:name w:val="WW-Absatz-Standardschriftart1"/>
    <w:uiPriority w:val="99"/>
    <w:rsid w:val="00963488"/>
  </w:style>
  <w:style w:type="character" w:customStyle="1" w:styleId="WW-Absatz-Standardschriftart11">
    <w:name w:val="WW-Absatz-Standardschriftart11"/>
    <w:uiPriority w:val="99"/>
    <w:rsid w:val="00963488"/>
  </w:style>
  <w:style w:type="character" w:customStyle="1" w:styleId="WW-Absatz-Standardschriftart111">
    <w:name w:val="WW-Absatz-Standardschriftart111"/>
    <w:uiPriority w:val="99"/>
    <w:rsid w:val="00963488"/>
  </w:style>
  <w:style w:type="character" w:customStyle="1" w:styleId="WW-Absatz-Standardschriftart1111">
    <w:name w:val="WW-Absatz-Standardschriftart1111"/>
    <w:uiPriority w:val="99"/>
    <w:rsid w:val="00963488"/>
  </w:style>
  <w:style w:type="character" w:customStyle="1" w:styleId="WW-Absatz-Standardschriftart11111">
    <w:name w:val="WW-Absatz-Standardschriftart11111"/>
    <w:uiPriority w:val="99"/>
    <w:rsid w:val="00963488"/>
  </w:style>
  <w:style w:type="character" w:customStyle="1" w:styleId="WW-Absatz-Standardschriftart111111">
    <w:name w:val="WW-Absatz-Standardschriftart111111"/>
    <w:uiPriority w:val="99"/>
    <w:rsid w:val="00963488"/>
  </w:style>
  <w:style w:type="character" w:customStyle="1" w:styleId="WW-Absatz-Standardschriftart1111111">
    <w:name w:val="WW-Absatz-Standardschriftart1111111"/>
    <w:uiPriority w:val="99"/>
    <w:rsid w:val="00963488"/>
  </w:style>
  <w:style w:type="character" w:customStyle="1" w:styleId="WW-Absatz-Standardschriftart11111111">
    <w:name w:val="WW-Absatz-Standardschriftart11111111"/>
    <w:uiPriority w:val="99"/>
    <w:rsid w:val="00963488"/>
  </w:style>
  <w:style w:type="character" w:customStyle="1" w:styleId="WW-Absatz-Standardschriftart111111111">
    <w:name w:val="WW-Absatz-Standardschriftart111111111"/>
    <w:uiPriority w:val="99"/>
    <w:rsid w:val="00963488"/>
  </w:style>
  <w:style w:type="character" w:customStyle="1" w:styleId="WW-Absatz-Standardschriftart1111111111">
    <w:name w:val="WW-Absatz-Standardschriftart1111111111"/>
    <w:uiPriority w:val="99"/>
    <w:rsid w:val="00963488"/>
  </w:style>
  <w:style w:type="character" w:customStyle="1" w:styleId="WW-Absatz-Standardschriftart11111111111">
    <w:name w:val="WW-Absatz-Standardschriftart11111111111"/>
    <w:uiPriority w:val="99"/>
    <w:rsid w:val="00963488"/>
  </w:style>
  <w:style w:type="character" w:customStyle="1" w:styleId="WW-Absatz-Standardschriftart111111111111">
    <w:name w:val="WW-Absatz-Standardschriftart111111111111"/>
    <w:uiPriority w:val="99"/>
    <w:rsid w:val="00963488"/>
  </w:style>
  <w:style w:type="character" w:customStyle="1" w:styleId="WW-Absatz-Standardschriftart1111111111111">
    <w:name w:val="WW-Absatz-Standardschriftart1111111111111"/>
    <w:uiPriority w:val="99"/>
    <w:rsid w:val="00963488"/>
  </w:style>
  <w:style w:type="character" w:customStyle="1" w:styleId="WW-Absatz-Standardschriftart11111111111111">
    <w:name w:val="WW-Absatz-Standardschriftart11111111111111"/>
    <w:uiPriority w:val="99"/>
    <w:rsid w:val="00963488"/>
  </w:style>
  <w:style w:type="character" w:customStyle="1" w:styleId="WW-Absatz-Standardschriftart111111111111111">
    <w:name w:val="WW-Absatz-Standardschriftart111111111111111"/>
    <w:uiPriority w:val="99"/>
    <w:rsid w:val="00963488"/>
  </w:style>
  <w:style w:type="character" w:customStyle="1" w:styleId="WW-Absatz-Standardschriftart1111111111111111">
    <w:name w:val="WW-Absatz-Standardschriftart1111111111111111"/>
    <w:uiPriority w:val="99"/>
    <w:rsid w:val="00963488"/>
  </w:style>
  <w:style w:type="character" w:customStyle="1" w:styleId="WW-Absatz-Standardschriftart11111111111111111">
    <w:name w:val="WW-Absatz-Standardschriftart11111111111111111"/>
    <w:uiPriority w:val="99"/>
    <w:rsid w:val="00963488"/>
  </w:style>
  <w:style w:type="character" w:customStyle="1" w:styleId="3">
    <w:name w:val="Основной шрифт абзаца3"/>
    <w:uiPriority w:val="99"/>
    <w:rsid w:val="00963488"/>
  </w:style>
  <w:style w:type="character" w:customStyle="1" w:styleId="WW-Absatz-Standardschriftart111111111111111111">
    <w:name w:val="WW-Absatz-Standardschriftart111111111111111111"/>
    <w:uiPriority w:val="99"/>
    <w:rsid w:val="00963488"/>
  </w:style>
  <w:style w:type="character" w:customStyle="1" w:styleId="WW-Absatz-Standardschriftart1111111111111111111">
    <w:name w:val="WW-Absatz-Standardschriftart1111111111111111111"/>
    <w:uiPriority w:val="99"/>
    <w:rsid w:val="00963488"/>
  </w:style>
  <w:style w:type="character" w:customStyle="1" w:styleId="WW-Absatz-Standardschriftart11111111111111111111">
    <w:name w:val="WW-Absatz-Standardschriftart11111111111111111111"/>
    <w:uiPriority w:val="99"/>
    <w:rsid w:val="00963488"/>
  </w:style>
  <w:style w:type="character" w:customStyle="1" w:styleId="WW-Absatz-Standardschriftart111111111111111111111">
    <w:name w:val="WW-Absatz-Standardschriftart111111111111111111111"/>
    <w:uiPriority w:val="99"/>
    <w:rsid w:val="00963488"/>
  </w:style>
  <w:style w:type="character" w:customStyle="1" w:styleId="WW-Absatz-Standardschriftart1111111111111111111111">
    <w:name w:val="WW-Absatz-Standardschriftart1111111111111111111111"/>
    <w:uiPriority w:val="99"/>
    <w:rsid w:val="00963488"/>
  </w:style>
  <w:style w:type="character" w:customStyle="1" w:styleId="WW-Absatz-Standardschriftart11111111111111111111111">
    <w:name w:val="WW-Absatz-Standardschriftart11111111111111111111111"/>
    <w:uiPriority w:val="99"/>
    <w:rsid w:val="00963488"/>
  </w:style>
  <w:style w:type="character" w:customStyle="1" w:styleId="WW-Absatz-Standardschriftart111111111111111111111111">
    <w:name w:val="WW-Absatz-Standardschriftart111111111111111111111111"/>
    <w:uiPriority w:val="99"/>
    <w:rsid w:val="00963488"/>
  </w:style>
  <w:style w:type="character" w:customStyle="1" w:styleId="WW-Absatz-Standardschriftart1111111111111111111111111">
    <w:name w:val="WW-Absatz-Standardschriftart1111111111111111111111111"/>
    <w:uiPriority w:val="99"/>
    <w:rsid w:val="00963488"/>
  </w:style>
  <w:style w:type="character" w:customStyle="1" w:styleId="WW-Absatz-Standardschriftart11111111111111111111111111">
    <w:name w:val="WW-Absatz-Standardschriftart11111111111111111111111111"/>
    <w:uiPriority w:val="99"/>
    <w:rsid w:val="00963488"/>
  </w:style>
  <w:style w:type="character" w:customStyle="1" w:styleId="WW-Absatz-Standardschriftart111111111111111111111111111">
    <w:name w:val="WW-Absatz-Standardschriftart111111111111111111111111111"/>
    <w:uiPriority w:val="99"/>
    <w:rsid w:val="00963488"/>
  </w:style>
  <w:style w:type="character" w:customStyle="1" w:styleId="WW-Absatz-Standardschriftart1111111111111111111111111111">
    <w:name w:val="WW-Absatz-Standardschriftart1111111111111111111111111111"/>
    <w:uiPriority w:val="99"/>
    <w:rsid w:val="00963488"/>
  </w:style>
  <w:style w:type="character" w:customStyle="1" w:styleId="2">
    <w:name w:val="Основной шрифт абзаца2"/>
    <w:uiPriority w:val="99"/>
    <w:rsid w:val="00963488"/>
  </w:style>
  <w:style w:type="character" w:customStyle="1" w:styleId="WW8Num2z0">
    <w:name w:val="WW8Num2z0"/>
    <w:uiPriority w:val="99"/>
    <w:rsid w:val="00963488"/>
    <w:rPr>
      <w:rFonts w:ascii="Times New Roman" w:hAnsi="Times New Roman"/>
    </w:rPr>
  </w:style>
  <w:style w:type="character" w:customStyle="1" w:styleId="WW8Num2z1">
    <w:name w:val="WW8Num2z1"/>
    <w:uiPriority w:val="99"/>
    <w:rsid w:val="00963488"/>
    <w:rPr>
      <w:rFonts w:ascii="Courier New" w:hAnsi="Courier New"/>
    </w:rPr>
  </w:style>
  <w:style w:type="character" w:customStyle="1" w:styleId="WW8Num2z2">
    <w:name w:val="WW8Num2z2"/>
    <w:uiPriority w:val="99"/>
    <w:rsid w:val="00963488"/>
    <w:rPr>
      <w:rFonts w:ascii="Wingdings" w:hAnsi="Wingdings"/>
    </w:rPr>
  </w:style>
  <w:style w:type="character" w:customStyle="1" w:styleId="WW8Num2z3">
    <w:name w:val="WW8Num2z3"/>
    <w:uiPriority w:val="99"/>
    <w:rsid w:val="00963488"/>
    <w:rPr>
      <w:rFonts w:ascii="Symbol" w:hAnsi="Symbol"/>
    </w:rPr>
  </w:style>
  <w:style w:type="character" w:customStyle="1" w:styleId="1">
    <w:name w:val="Основной шрифт абзаца1"/>
    <w:uiPriority w:val="99"/>
    <w:rsid w:val="00963488"/>
  </w:style>
  <w:style w:type="character" w:styleId="Hyperlink">
    <w:name w:val="Hyperlink"/>
    <w:basedOn w:val="1"/>
    <w:uiPriority w:val="99"/>
    <w:rsid w:val="00963488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963488"/>
  </w:style>
  <w:style w:type="character" w:customStyle="1" w:styleId="rvts82">
    <w:name w:val="rvts82"/>
    <w:basedOn w:val="3"/>
    <w:uiPriority w:val="99"/>
    <w:rsid w:val="00963488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9634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634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E09"/>
    <w:rPr>
      <w:sz w:val="24"/>
      <w:szCs w:val="24"/>
      <w:lang w:val="ru-RU" w:eastAsia="zh-CN"/>
    </w:rPr>
  </w:style>
  <w:style w:type="paragraph" w:styleId="List">
    <w:name w:val="List"/>
    <w:basedOn w:val="BodyText"/>
    <w:uiPriority w:val="99"/>
    <w:rsid w:val="00963488"/>
    <w:rPr>
      <w:rFonts w:cs="Mangal"/>
    </w:rPr>
  </w:style>
  <w:style w:type="paragraph" w:styleId="Caption">
    <w:name w:val="caption"/>
    <w:basedOn w:val="Normal"/>
    <w:uiPriority w:val="99"/>
    <w:qFormat/>
    <w:rsid w:val="0096348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963488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96348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96348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96348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63488"/>
    <w:pPr>
      <w:suppressLineNumbers/>
    </w:pPr>
    <w:rPr>
      <w:rFonts w:cs="Mangal"/>
    </w:rPr>
  </w:style>
  <w:style w:type="paragraph" w:customStyle="1" w:styleId="12">
    <w:name w:val="Название объекта1"/>
    <w:basedOn w:val="Normal"/>
    <w:uiPriority w:val="99"/>
    <w:rsid w:val="00963488"/>
    <w:pPr>
      <w:jc w:val="center"/>
    </w:pPr>
    <w:rPr>
      <w:b/>
      <w:sz w:val="2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rsid w:val="0096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09"/>
    <w:rPr>
      <w:sz w:val="0"/>
      <w:szCs w:val="0"/>
      <w:lang w:val="ru-RU" w:eastAsia="zh-CN"/>
    </w:rPr>
  </w:style>
  <w:style w:type="paragraph" w:customStyle="1" w:styleId="a1">
    <w:name w:val="Содержимое таблицы"/>
    <w:basedOn w:val="Normal"/>
    <w:uiPriority w:val="99"/>
    <w:rsid w:val="00963488"/>
    <w:pPr>
      <w:suppressLineNumbers/>
    </w:pPr>
  </w:style>
  <w:style w:type="paragraph" w:customStyle="1" w:styleId="a2">
    <w:name w:val="Заголовок таблицы"/>
    <w:basedOn w:val="a1"/>
    <w:uiPriority w:val="99"/>
    <w:rsid w:val="00963488"/>
    <w:pPr>
      <w:jc w:val="center"/>
    </w:pPr>
    <w:rPr>
      <w:b/>
      <w:bCs/>
    </w:rPr>
  </w:style>
  <w:style w:type="paragraph" w:customStyle="1" w:styleId="LO-Normal">
    <w:name w:val="LO-Normal"/>
    <w:uiPriority w:val="99"/>
    <w:rsid w:val="00963488"/>
    <w:pPr>
      <w:widowControl w:val="0"/>
      <w:suppressAutoHyphens/>
    </w:pPr>
    <w:rPr>
      <w:sz w:val="20"/>
      <w:szCs w:val="20"/>
      <w:lang w:val="ru-RU" w:eastAsia="zh-CN"/>
    </w:rPr>
  </w:style>
  <w:style w:type="paragraph" w:customStyle="1" w:styleId="rvps14">
    <w:name w:val="rvps14"/>
    <w:basedOn w:val="Normal"/>
    <w:uiPriority w:val="99"/>
    <w:rsid w:val="00963488"/>
    <w:pPr>
      <w:spacing w:before="280" w:after="280"/>
    </w:pPr>
  </w:style>
  <w:style w:type="paragraph" w:customStyle="1" w:styleId="rvps12">
    <w:name w:val="rvps12"/>
    <w:basedOn w:val="Normal"/>
    <w:uiPriority w:val="99"/>
    <w:rsid w:val="0096348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acia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1188</Words>
  <Characters>6776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І Д К Р И Т Е     А К Ц І О Н Е Р Н Е    Т О В А Р И С Т В О</dc:title>
  <dc:subject/>
  <dc:creator>Галина</dc:creator>
  <cp:keywords/>
  <dc:description/>
  <cp:lastModifiedBy>Admin</cp:lastModifiedBy>
  <cp:revision>2</cp:revision>
  <cp:lastPrinted>2021-03-19T07:51:00Z</cp:lastPrinted>
  <dcterms:created xsi:type="dcterms:W3CDTF">2021-03-19T09:32:00Z</dcterms:created>
  <dcterms:modified xsi:type="dcterms:W3CDTF">2021-03-19T09:32:00Z</dcterms:modified>
</cp:coreProperties>
</file>